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5787" w14:textId="77777777" w:rsidR="00BF6988" w:rsidRPr="00025F8C" w:rsidRDefault="006C1473" w:rsidP="006C147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25F8C">
        <w:rPr>
          <w:b/>
          <w:sz w:val="28"/>
          <w:szCs w:val="28"/>
          <w:u w:val="single"/>
        </w:rPr>
        <w:t>CCURE Training Series</w:t>
      </w:r>
      <w:r w:rsidR="001513BF">
        <w:rPr>
          <w:b/>
          <w:sz w:val="28"/>
          <w:szCs w:val="28"/>
          <w:u w:val="single"/>
        </w:rPr>
        <w:t>: #5</w:t>
      </w:r>
      <w:r w:rsidRPr="00025F8C">
        <w:rPr>
          <w:b/>
          <w:sz w:val="28"/>
          <w:szCs w:val="28"/>
          <w:u w:val="single"/>
        </w:rPr>
        <w:t xml:space="preserve"> </w:t>
      </w:r>
      <w:r w:rsidR="00025F8C" w:rsidRPr="00025F8C">
        <w:rPr>
          <w:b/>
          <w:sz w:val="28"/>
          <w:szCs w:val="28"/>
          <w:u w:val="single"/>
        </w:rPr>
        <w:t>–</w:t>
      </w:r>
      <w:r w:rsidR="00F30824">
        <w:rPr>
          <w:b/>
          <w:sz w:val="28"/>
          <w:szCs w:val="28"/>
          <w:u w:val="single"/>
        </w:rPr>
        <w:t xml:space="preserve"> </w:t>
      </w:r>
      <w:r w:rsidR="001513BF">
        <w:rPr>
          <w:b/>
          <w:sz w:val="28"/>
          <w:szCs w:val="28"/>
          <w:u w:val="single"/>
        </w:rPr>
        <w:t>Reports</w:t>
      </w:r>
      <w:r w:rsidR="00BF405E">
        <w:rPr>
          <w:b/>
          <w:sz w:val="28"/>
          <w:szCs w:val="28"/>
          <w:u w:val="single"/>
        </w:rPr>
        <w:t xml:space="preserve"> &amp; Audits</w:t>
      </w:r>
    </w:p>
    <w:p w14:paraId="09E9C850" w14:textId="77777777" w:rsidR="00025F8C" w:rsidRDefault="00025F8C" w:rsidP="00BF405E">
      <w:pPr>
        <w:jc w:val="both"/>
        <w:rPr>
          <w:b/>
          <w:sz w:val="28"/>
          <w:szCs w:val="28"/>
        </w:rPr>
      </w:pPr>
    </w:p>
    <w:p w14:paraId="68B658B0" w14:textId="77777777" w:rsidR="001D1643" w:rsidRPr="00BF22EF" w:rsidRDefault="00071B4C" w:rsidP="003603E1">
      <w:pPr>
        <w:jc w:val="both"/>
        <w:rPr>
          <w:sz w:val="22"/>
          <w:szCs w:val="24"/>
        </w:rPr>
      </w:pPr>
      <w:r w:rsidRPr="00BF22EF">
        <w:rPr>
          <w:sz w:val="22"/>
          <w:szCs w:val="24"/>
        </w:rPr>
        <w:t>Reports are valuable tools that can be used to help audit a clearance as required by Procedure SY2001.</w:t>
      </w:r>
    </w:p>
    <w:p w14:paraId="3675378C" w14:textId="77777777" w:rsidR="00BD74E0" w:rsidRDefault="00DD6452" w:rsidP="003603E1">
      <w:pPr>
        <w:jc w:val="both"/>
        <w:rPr>
          <w:b/>
          <w:szCs w:val="24"/>
        </w:rPr>
      </w:pPr>
      <w:r w:rsidRPr="00CB087B">
        <w:rPr>
          <w:b/>
          <w:szCs w:val="24"/>
          <w:u w:val="single"/>
        </w:rPr>
        <w:t>Best Practices</w:t>
      </w:r>
      <w:r w:rsidRPr="00E33DEC">
        <w:rPr>
          <w:b/>
          <w:szCs w:val="24"/>
        </w:rPr>
        <w:t>:</w:t>
      </w:r>
    </w:p>
    <w:p w14:paraId="49E0C702" w14:textId="77777777" w:rsidR="00BF405E" w:rsidRPr="00BF22EF" w:rsidRDefault="00BF405E" w:rsidP="003603E1">
      <w:pPr>
        <w:pStyle w:val="ListParagraph"/>
        <w:numPr>
          <w:ilvl w:val="0"/>
          <w:numId w:val="1"/>
        </w:numPr>
        <w:contextualSpacing w:val="0"/>
        <w:jc w:val="both"/>
        <w:rPr>
          <w:i/>
          <w:sz w:val="22"/>
          <w:szCs w:val="24"/>
        </w:rPr>
      </w:pPr>
      <w:r w:rsidRPr="00BF22EF">
        <w:rPr>
          <w:i/>
          <w:sz w:val="22"/>
          <w:szCs w:val="24"/>
        </w:rPr>
        <w:t xml:space="preserve">Never add a clearance that you don’t “own” to any user without following the SY2001 procedure! </w:t>
      </w:r>
    </w:p>
    <w:p w14:paraId="4F3F66B3" w14:textId="77777777" w:rsidR="00DD6452" w:rsidRPr="00BF22EF" w:rsidRDefault="00DD6452" w:rsidP="003603E1">
      <w:pPr>
        <w:pStyle w:val="ListParagraph"/>
        <w:numPr>
          <w:ilvl w:val="0"/>
          <w:numId w:val="1"/>
        </w:numPr>
        <w:contextualSpacing w:val="0"/>
        <w:jc w:val="both"/>
        <w:rPr>
          <w:i/>
          <w:sz w:val="22"/>
          <w:szCs w:val="24"/>
        </w:rPr>
      </w:pPr>
      <w:r w:rsidRPr="00BF22EF">
        <w:rPr>
          <w:sz w:val="22"/>
          <w:szCs w:val="24"/>
        </w:rPr>
        <w:t>N</w:t>
      </w:r>
      <w:r w:rsidR="00071B4C" w:rsidRPr="00BF22EF">
        <w:rPr>
          <w:sz w:val="22"/>
          <w:szCs w:val="24"/>
        </w:rPr>
        <w:t>aming conventions for clearances serve to identify who “owns” and is responsible for maintaining any given clearance</w:t>
      </w:r>
      <w:r w:rsidR="00BF405E" w:rsidRPr="00BF22EF">
        <w:rPr>
          <w:sz w:val="22"/>
          <w:szCs w:val="24"/>
        </w:rPr>
        <w:t>.  The recommended naming convention within the College of Engineering shall be:</w:t>
      </w:r>
    </w:p>
    <w:p w14:paraId="4E53CC19" w14:textId="77777777" w:rsidR="00BF405E" w:rsidRPr="00BF22EF" w:rsidRDefault="00BF405E" w:rsidP="003603E1">
      <w:pPr>
        <w:pStyle w:val="ListParagraph"/>
        <w:ind w:right="1800"/>
        <w:contextualSpacing w:val="0"/>
        <w:jc w:val="both"/>
        <w:rPr>
          <w:i/>
          <w:sz w:val="14"/>
          <w:szCs w:val="16"/>
        </w:rPr>
      </w:pPr>
    </w:p>
    <w:p w14:paraId="7FC9CA92" w14:textId="77777777" w:rsidR="00BF405E" w:rsidRPr="00BF22EF" w:rsidRDefault="00BF405E" w:rsidP="003603E1">
      <w:pPr>
        <w:pStyle w:val="ListParagraph"/>
        <w:ind w:left="1440" w:right="1800" w:firstLine="720"/>
        <w:contextualSpacing w:val="0"/>
        <w:jc w:val="both"/>
        <w:rPr>
          <w:sz w:val="22"/>
          <w:szCs w:val="24"/>
        </w:rPr>
      </w:pPr>
      <w:r w:rsidRPr="00BF22EF">
        <w:rPr>
          <w:sz w:val="22"/>
          <w:szCs w:val="24"/>
        </w:rPr>
        <w:t>“Building Name – ADMIN UNIT – Name of Clearance”</w:t>
      </w:r>
    </w:p>
    <w:p w14:paraId="7B6D4E07" w14:textId="77777777" w:rsidR="00BF405E" w:rsidRPr="00BF22EF" w:rsidRDefault="00BF405E" w:rsidP="003603E1">
      <w:pPr>
        <w:ind w:right="1800" w:firstLine="540"/>
        <w:jc w:val="both"/>
        <w:rPr>
          <w:i/>
          <w:sz w:val="22"/>
          <w:szCs w:val="24"/>
        </w:rPr>
      </w:pPr>
      <w:r w:rsidRPr="00BF22EF">
        <w:rPr>
          <w:i/>
          <w:sz w:val="22"/>
          <w:szCs w:val="24"/>
        </w:rPr>
        <w:t>Where:</w:t>
      </w:r>
    </w:p>
    <w:p w14:paraId="2B5760A6" w14:textId="77777777" w:rsidR="00BF405E" w:rsidRPr="00BF22EF" w:rsidRDefault="00BF405E" w:rsidP="003603E1">
      <w:pPr>
        <w:pStyle w:val="ListParagraph"/>
        <w:ind w:left="1080" w:hanging="360"/>
        <w:contextualSpacing w:val="0"/>
        <w:jc w:val="both"/>
        <w:rPr>
          <w:sz w:val="22"/>
          <w:szCs w:val="24"/>
        </w:rPr>
      </w:pPr>
      <w:r w:rsidRPr="00BF22EF">
        <w:rPr>
          <w:sz w:val="22"/>
          <w:szCs w:val="24"/>
        </w:rPr>
        <w:t>“Building Name” = the common name of the building being controlled (i.e. Hammond)</w:t>
      </w:r>
    </w:p>
    <w:p w14:paraId="52238EC1" w14:textId="77777777" w:rsidR="00BF405E" w:rsidRPr="00BF22EF" w:rsidRDefault="00BF405E" w:rsidP="003603E1">
      <w:pPr>
        <w:pStyle w:val="ListParagraph"/>
        <w:ind w:left="1080" w:hanging="360"/>
        <w:contextualSpacing w:val="0"/>
        <w:jc w:val="both"/>
        <w:rPr>
          <w:sz w:val="22"/>
          <w:szCs w:val="24"/>
        </w:rPr>
      </w:pPr>
      <w:r w:rsidRPr="00BF22EF">
        <w:rPr>
          <w:sz w:val="22"/>
          <w:szCs w:val="24"/>
        </w:rPr>
        <w:t>“ADMIN UNIT” (in ALL CAPS) = Department / Unit responsible for maintaining the clearance (can be abbreviated so long as the abbreviation is understood by all Access Coordinators)</w:t>
      </w:r>
    </w:p>
    <w:p w14:paraId="392862C6" w14:textId="77777777" w:rsidR="00BF405E" w:rsidRPr="00BF22EF" w:rsidRDefault="00BF405E" w:rsidP="003603E1">
      <w:pPr>
        <w:pStyle w:val="ListParagraph"/>
        <w:ind w:left="1080" w:hanging="360"/>
        <w:contextualSpacing w:val="0"/>
        <w:jc w:val="both"/>
        <w:rPr>
          <w:sz w:val="22"/>
          <w:szCs w:val="24"/>
        </w:rPr>
      </w:pPr>
      <w:r w:rsidRPr="00BF22EF">
        <w:rPr>
          <w:sz w:val="22"/>
          <w:szCs w:val="24"/>
        </w:rPr>
        <w:t>“Name of Clearance” = descriptive name of Clearance (i.e. “All Access” or “Room 123” or “Shops”)</w:t>
      </w:r>
    </w:p>
    <w:p w14:paraId="5D62058B" w14:textId="77777777" w:rsidR="000F578F" w:rsidRPr="00BF22EF" w:rsidRDefault="000F578F" w:rsidP="003603E1">
      <w:pPr>
        <w:jc w:val="both"/>
        <w:rPr>
          <w:sz w:val="22"/>
          <w:szCs w:val="24"/>
        </w:rPr>
      </w:pPr>
    </w:p>
    <w:p w14:paraId="147B8781" w14:textId="77777777" w:rsidR="00025F8C" w:rsidRPr="00E628BC" w:rsidRDefault="00071B4C" w:rsidP="000F578F">
      <w:pPr>
        <w:ind w:right="-9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Creating a NON-PRINTABLE user summary by clearance (good for low numbers of users/clearance</w:t>
      </w:r>
      <w:r w:rsidR="00E628BC">
        <w:rPr>
          <w:b/>
          <w:szCs w:val="24"/>
          <w:u w:val="single"/>
        </w:rPr>
        <w:t>)</w:t>
      </w:r>
      <w:r w:rsidR="00025F8C" w:rsidRPr="00E628BC">
        <w:rPr>
          <w:b/>
          <w:szCs w:val="24"/>
          <w:u w:val="single"/>
        </w:rPr>
        <w:t>:</w:t>
      </w:r>
    </w:p>
    <w:p w14:paraId="620A29D1" w14:textId="77777777" w:rsidR="006E0AD4" w:rsidRPr="00BF22EF" w:rsidRDefault="00F47650" w:rsidP="003603E1">
      <w:pPr>
        <w:pStyle w:val="ListParagraph"/>
        <w:spacing w:before="120"/>
        <w:jc w:val="both"/>
        <w:rPr>
          <w:sz w:val="22"/>
          <w:szCs w:val="24"/>
        </w:rPr>
      </w:pPr>
      <w:r>
        <w:rPr>
          <w:i/>
          <w:szCs w:val="24"/>
        </w:rPr>
        <w:t xml:space="preserve">- </w:t>
      </w:r>
      <w:r w:rsidR="00366DEE" w:rsidRPr="00BF22EF">
        <w:rPr>
          <w:sz w:val="22"/>
          <w:szCs w:val="24"/>
        </w:rPr>
        <w:t>From the Administration Client home page, click “Query” under the “Personnel” tab.</w:t>
      </w:r>
    </w:p>
    <w:p w14:paraId="3AF31B7B" w14:textId="77777777" w:rsidR="00366DEE" w:rsidRPr="00BF22EF" w:rsidRDefault="00366DEE" w:rsidP="003603E1">
      <w:pPr>
        <w:pStyle w:val="ListParagraph"/>
        <w:spacing w:before="120"/>
        <w:jc w:val="both"/>
        <w:rPr>
          <w:sz w:val="22"/>
          <w:szCs w:val="24"/>
        </w:rPr>
      </w:pPr>
      <w:r w:rsidRPr="00BF22EF">
        <w:rPr>
          <w:sz w:val="22"/>
          <w:szCs w:val="24"/>
        </w:rPr>
        <w:t>- Click the “Clearances” tab to list the Available Clearances, as shown below</w:t>
      </w:r>
      <w:r w:rsidR="003C170A" w:rsidRPr="00BF22EF">
        <w:rPr>
          <w:sz w:val="22"/>
          <w:szCs w:val="24"/>
        </w:rPr>
        <w:t>:</w:t>
      </w:r>
    </w:p>
    <w:p w14:paraId="1B720E62" w14:textId="77777777" w:rsidR="003C170A" w:rsidRDefault="003C170A" w:rsidP="003603E1">
      <w:pPr>
        <w:pStyle w:val="ListParagraph"/>
        <w:spacing w:before="120"/>
        <w:jc w:val="both"/>
        <w:rPr>
          <w:szCs w:val="24"/>
        </w:rPr>
      </w:pPr>
    </w:p>
    <w:p w14:paraId="019E9122" w14:textId="77777777" w:rsidR="00366DEE" w:rsidRDefault="00366DEE" w:rsidP="003603E1">
      <w:pPr>
        <w:pStyle w:val="ListParagraph"/>
        <w:spacing w:before="120"/>
        <w:ind w:lef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5D3F87E1" wp14:editId="694CA3FE">
            <wp:extent cx="3312544" cy="2259482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944" cy="23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7C6D" w14:textId="77777777" w:rsidR="003C170A" w:rsidRDefault="003C170A" w:rsidP="003603E1">
      <w:pPr>
        <w:pStyle w:val="ListParagraph"/>
        <w:spacing w:before="120"/>
        <w:ind w:left="0"/>
        <w:jc w:val="both"/>
        <w:rPr>
          <w:szCs w:val="24"/>
        </w:rPr>
      </w:pPr>
    </w:p>
    <w:p w14:paraId="1ADC287C" w14:textId="77777777" w:rsidR="00366DEE" w:rsidRPr="00BF22EF" w:rsidRDefault="003C170A" w:rsidP="003603E1">
      <w:pPr>
        <w:pStyle w:val="ListParagraph"/>
        <w:spacing w:before="120"/>
        <w:ind w:left="1080" w:hanging="360"/>
        <w:jc w:val="both"/>
        <w:rPr>
          <w:sz w:val="22"/>
          <w:szCs w:val="24"/>
        </w:rPr>
      </w:pPr>
      <w:r>
        <w:rPr>
          <w:szCs w:val="24"/>
        </w:rPr>
        <w:t xml:space="preserve">- </w:t>
      </w:r>
      <w:r w:rsidRPr="00BF22EF">
        <w:rPr>
          <w:sz w:val="22"/>
          <w:szCs w:val="24"/>
        </w:rPr>
        <w:t>Highlight the desired clearance by clicking on the clearance name (#1 above).</w:t>
      </w:r>
    </w:p>
    <w:p w14:paraId="0B09D58C" w14:textId="77777777" w:rsidR="003C170A" w:rsidRPr="00BF22EF" w:rsidRDefault="003C170A" w:rsidP="003603E1">
      <w:pPr>
        <w:pStyle w:val="ListParagraph"/>
        <w:spacing w:before="120"/>
        <w:ind w:left="1080" w:hanging="360"/>
        <w:jc w:val="both"/>
        <w:rPr>
          <w:sz w:val="22"/>
          <w:szCs w:val="24"/>
        </w:rPr>
      </w:pPr>
      <w:r w:rsidRPr="00BF22EF">
        <w:rPr>
          <w:sz w:val="22"/>
          <w:szCs w:val="24"/>
        </w:rPr>
        <w:t>- Select the highlighted clearance by clicking the “Add&gt;&gt;” button (#2, above).  The clearance will move over to the box on the right.</w:t>
      </w:r>
    </w:p>
    <w:p w14:paraId="13520DB1" w14:textId="77777777" w:rsidR="003C170A" w:rsidRPr="00BF22EF" w:rsidRDefault="003C170A" w:rsidP="003603E1">
      <w:pPr>
        <w:pStyle w:val="ListParagraph"/>
        <w:spacing w:before="120"/>
        <w:ind w:left="1080" w:hanging="360"/>
        <w:jc w:val="both"/>
        <w:rPr>
          <w:sz w:val="22"/>
          <w:szCs w:val="24"/>
        </w:rPr>
      </w:pPr>
      <w:r w:rsidRPr="00BF22EF">
        <w:rPr>
          <w:sz w:val="22"/>
          <w:szCs w:val="24"/>
        </w:rPr>
        <w:t>- Click “Do Query” to run (#3, above).  The results will be shown in a new window, as below.</w:t>
      </w:r>
    </w:p>
    <w:p w14:paraId="4DE3EAC2" w14:textId="77777777" w:rsidR="003C170A" w:rsidRDefault="00BF22EF" w:rsidP="003603E1">
      <w:pPr>
        <w:pStyle w:val="ListParagraph"/>
        <w:spacing w:before="120"/>
        <w:ind w:left="1080" w:hanging="360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3C3EA2" wp14:editId="6E3BB440">
            <wp:simplePos x="0" y="0"/>
            <wp:positionH relativeFrom="column">
              <wp:posOffset>1262332</wp:posOffset>
            </wp:positionH>
            <wp:positionV relativeFrom="paragraph">
              <wp:posOffset>41025</wp:posOffset>
            </wp:positionV>
            <wp:extent cx="3646098" cy="241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867" cy="2426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1FBCE" w14:textId="77777777" w:rsidR="003C170A" w:rsidRDefault="003C170A" w:rsidP="003603E1">
      <w:pPr>
        <w:pStyle w:val="ListParagraph"/>
        <w:spacing w:before="120"/>
        <w:ind w:left="0"/>
        <w:jc w:val="center"/>
        <w:rPr>
          <w:szCs w:val="24"/>
        </w:rPr>
      </w:pPr>
    </w:p>
    <w:p w14:paraId="3615D3D2" w14:textId="77777777" w:rsidR="00BF22EF" w:rsidRDefault="00BF22EF" w:rsidP="003603E1">
      <w:pPr>
        <w:pStyle w:val="ListParagraph"/>
        <w:spacing w:before="120"/>
        <w:ind w:left="0"/>
        <w:jc w:val="center"/>
        <w:rPr>
          <w:szCs w:val="24"/>
        </w:rPr>
      </w:pPr>
    </w:p>
    <w:p w14:paraId="7E6BEBCA" w14:textId="77777777" w:rsidR="00BF22EF" w:rsidRDefault="00BF22EF" w:rsidP="003603E1">
      <w:pPr>
        <w:pStyle w:val="ListParagraph"/>
        <w:spacing w:before="120"/>
        <w:ind w:left="0"/>
        <w:jc w:val="center"/>
        <w:rPr>
          <w:szCs w:val="24"/>
        </w:rPr>
      </w:pPr>
    </w:p>
    <w:p w14:paraId="0D418FAF" w14:textId="77777777" w:rsidR="003603E1" w:rsidRDefault="003603E1" w:rsidP="003603E1">
      <w:pPr>
        <w:spacing w:before="120" w:after="120"/>
        <w:jc w:val="both"/>
        <w:rPr>
          <w:b/>
          <w:szCs w:val="24"/>
          <w:u w:val="single"/>
        </w:rPr>
      </w:pPr>
    </w:p>
    <w:p w14:paraId="2731E43F" w14:textId="77777777" w:rsidR="00BF22EF" w:rsidRDefault="00BF22EF" w:rsidP="003603E1">
      <w:pPr>
        <w:spacing w:before="120" w:after="120"/>
        <w:jc w:val="both"/>
        <w:rPr>
          <w:b/>
          <w:szCs w:val="24"/>
          <w:u w:val="single"/>
        </w:rPr>
      </w:pPr>
    </w:p>
    <w:p w14:paraId="400E1D27" w14:textId="77777777" w:rsidR="00BF22EF" w:rsidRDefault="00BF22EF" w:rsidP="003603E1">
      <w:pPr>
        <w:spacing w:before="120" w:after="120"/>
        <w:jc w:val="both"/>
        <w:rPr>
          <w:b/>
          <w:szCs w:val="24"/>
          <w:u w:val="single"/>
        </w:rPr>
      </w:pPr>
    </w:p>
    <w:p w14:paraId="788139F4" w14:textId="77777777" w:rsidR="00BF22EF" w:rsidRDefault="00BF22EF" w:rsidP="003603E1">
      <w:pPr>
        <w:spacing w:before="120" w:after="120"/>
        <w:jc w:val="both"/>
        <w:rPr>
          <w:b/>
          <w:szCs w:val="24"/>
          <w:u w:val="single"/>
        </w:rPr>
      </w:pPr>
    </w:p>
    <w:p w14:paraId="10994F36" w14:textId="77777777" w:rsidR="003A680F" w:rsidRDefault="003A680F" w:rsidP="003603E1">
      <w:pPr>
        <w:spacing w:before="120" w:after="120"/>
        <w:jc w:val="both"/>
        <w:rPr>
          <w:b/>
          <w:szCs w:val="24"/>
          <w:u w:val="single"/>
        </w:rPr>
      </w:pPr>
    </w:p>
    <w:p w14:paraId="648090F9" w14:textId="77777777" w:rsidR="006E0AD4" w:rsidRPr="00E628BC" w:rsidRDefault="00071B4C" w:rsidP="003603E1">
      <w:pPr>
        <w:spacing w:before="120" w:after="12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Creating a PRINTABLE / DOWNLOADABLE Clearance report</w:t>
      </w:r>
      <w:r w:rsidR="00E628BC" w:rsidRPr="00E628BC">
        <w:rPr>
          <w:b/>
          <w:szCs w:val="24"/>
          <w:u w:val="single"/>
        </w:rPr>
        <w:t>:</w:t>
      </w:r>
    </w:p>
    <w:p w14:paraId="33468FCD" w14:textId="77777777" w:rsidR="00E628BC" w:rsidRPr="00BF22EF" w:rsidRDefault="003C170A" w:rsidP="003603E1">
      <w:pPr>
        <w:ind w:left="720" w:hanging="360"/>
        <w:jc w:val="both"/>
        <w:rPr>
          <w:sz w:val="22"/>
          <w:szCs w:val="24"/>
        </w:rPr>
      </w:pPr>
      <w:r w:rsidRPr="00BF22EF">
        <w:rPr>
          <w:sz w:val="22"/>
          <w:szCs w:val="24"/>
        </w:rPr>
        <w:t>- From the Administration Client home page, Single Click “Reports” to open a drop down menu.</w:t>
      </w:r>
    </w:p>
    <w:p w14:paraId="3507822A" w14:textId="77777777" w:rsidR="003C170A" w:rsidRPr="00A335AA" w:rsidRDefault="003C170A" w:rsidP="00A335AA">
      <w:pPr>
        <w:ind w:left="720" w:hanging="360"/>
        <w:jc w:val="both"/>
        <w:rPr>
          <w:sz w:val="22"/>
          <w:szCs w:val="24"/>
        </w:rPr>
      </w:pPr>
      <w:r w:rsidRPr="00BF22EF">
        <w:rPr>
          <w:sz w:val="22"/>
          <w:szCs w:val="24"/>
        </w:rPr>
        <w:t>- Hover over “Personnel” so that the sub-menu opens and click “personnel” to open new window as below:</w:t>
      </w:r>
    </w:p>
    <w:p w14:paraId="7C19652A" w14:textId="77777777" w:rsidR="00A335AA" w:rsidRDefault="00A335AA" w:rsidP="003603E1">
      <w:pPr>
        <w:ind w:left="720" w:hanging="360"/>
        <w:jc w:val="center"/>
        <w:rPr>
          <w:szCs w:val="24"/>
        </w:rPr>
      </w:pPr>
    </w:p>
    <w:p w14:paraId="754AE947" w14:textId="77777777" w:rsidR="00A335AA" w:rsidRDefault="00A335AA" w:rsidP="003603E1">
      <w:pPr>
        <w:ind w:left="720" w:hanging="360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EEE92" wp14:editId="3792F922">
                <wp:simplePos x="0" y="0"/>
                <wp:positionH relativeFrom="column">
                  <wp:posOffset>6000750</wp:posOffset>
                </wp:positionH>
                <wp:positionV relativeFrom="paragraph">
                  <wp:posOffset>466725</wp:posOffset>
                </wp:positionV>
                <wp:extent cx="300037" cy="333375"/>
                <wp:effectExtent l="0" t="0" r="241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" cy="333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14:paraId="7F783CE5" w14:textId="77777777" w:rsidR="00A335AA" w:rsidRPr="00A335AA" w:rsidRDefault="00A335AA" w:rsidP="00A335A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EEE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72.5pt;margin-top:36.75pt;width:23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" fillcolor="#70ad47 [3209]" strokecolor="#70ad47 [3209]" strokeweight=".5pt">
                <v:textbox>
                  <w:txbxContent>
                    <w:p w14:paraId="7F783CE5" w14:textId="77777777" w:rsidR="00A335AA" w:rsidRPr="00A335AA" w:rsidRDefault="00A335AA" w:rsidP="00A335A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C59A2" wp14:editId="03B74BE2">
                <wp:simplePos x="0" y="0"/>
                <wp:positionH relativeFrom="column">
                  <wp:posOffset>5695950</wp:posOffset>
                </wp:positionH>
                <wp:positionV relativeFrom="paragraph">
                  <wp:posOffset>3219450</wp:posOffset>
                </wp:positionV>
                <wp:extent cx="300037" cy="333375"/>
                <wp:effectExtent l="0" t="0" r="241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" cy="333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D79670" w14:textId="77777777" w:rsidR="00A335AA" w:rsidRPr="00A335AA" w:rsidRDefault="00A335AA" w:rsidP="00A335AA">
                            <w:pPr>
                              <w:rPr>
                                <w:sz w:val="32"/>
                              </w:rPr>
                            </w:pPr>
                            <w:r w:rsidRPr="00A335AA"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59A2" id="Text Box 7" o:spid="_x0000_s1027" type="#_x0000_t202" style="position:absolute;left:0;text-align:left;margin-left:448.5pt;margin-top:253.5pt;width:23.6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" fillcolor="red" strokeweight=".5pt">
                <v:textbox>
                  <w:txbxContent>
                    <w:p w14:paraId="1ED79670" w14:textId="77777777" w:rsidR="00A335AA" w:rsidRPr="00A335AA" w:rsidRDefault="00A335AA" w:rsidP="00A335AA">
                      <w:pPr>
                        <w:rPr>
                          <w:sz w:val="32"/>
                        </w:rPr>
                      </w:pPr>
                      <w:r w:rsidRPr="00A335AA">
                        <w:rPr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6E123" wp14:editId="1957D2DC">
                <wp:simplePos x="0" y="0"/>
                <wp:positionH relativeFrom="column">
                  <wp:posOffset>4343399</wp:posOffset>
                </wp:positionH>
                <wp:positionV relativeFrom="paragraph">
                  <wp:posOffset>238125</wp:posOffset>
                </wp:positionV>
                <wp:extent cx="29527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8AFC4" w14:textId="77777777" w:rsidR="00A335AA" w:rsidRPr="00A335AA" w:rsidRDefault="00A335AA">
                            <w:r w:rsidRPr="00A335AA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E123" id="Text Box 6" o:spid="_x0000_s1028" type="#_x0000_t202" style="position:absolute;left:0;text-align:left;margin-left:342pt;margin-top:18.75pt;width:2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" fillcolor="red" strokeweight=".5pt">
                <v:textbox>
                  <w:txbxContent>
                    <w:p w14:paraId="22E8AFC4" w14:textId="77777777" w:rsidR="00A335AA" w:rsidRPr="00A335AA" w:rsidRDefault="00A335AA">
                      <w:r w:rsidRPr="00A335AA"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40FEEA" wp14:editId="2D802B4E">
            <wp:extent cx="5926311" cy="420658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1488" cy="424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2DB8" w14:textId="77777777" w:rsidR="000D7777" w:rsidRPr="00BF22EF" w:rsidRDefault="000D7777" w:rsidP="003603E1">
      <w:pPr>
        <w:ind w:left="720" w:hanging="360"/>
        <w:jc w:val="both"/>
        <w:rPr>
          <w:sz w:val="22"/>
          <w:szCs w:val="24"/>
        </w:rPr>
      </w:pPr>
    </w:p>
    <w:p w14:paraId="2DBADF76" w14:textId="77777777" w:rsidR="003C170A" w:rsidRDefault="003C170A" w:rsidP="003603E1">
      <w:pPr>
        <w:ind w:left="720" w:hanging="360"/>
        <w:jc w:val="both"/>
        <w:rPr>
          <w:sz w:val="22"/>
          <w:szCs w:val="24"/>
        </w:rPr>
      </w:pPr>
      <w:r w:rsidRPr="00BF22EF">
        <w:rPr>
          <w:sz w:val="22"/>
          <w:szCs w:val="24"/>
        </w:rPr>
        <w:t xml:space="preserve">- </w:t>
      </w:r>
      <w:r w:rsidR="00A335AA">
        <w:rPr>
          <w:sz w:val="22"/>
          <w:szCs w:val="24"/>
        </w:rPr>
        <w:t>The look for the line “</w:t>
      </w:r>
      <w:r w:rsidR="000D7777" w:rsidRPr="00BF22EF">
        <w:rPr>
          <w:sz w:val="22"/>
          <w:szCs w:val="24"/>
        </w:rPr>
        <w:t xml:space="preserve">Clearance Report” </w:t>
      </w:r>
      <w:r w:rsidR="00A335AA">
        <w:rPr>
          <w:sz w:val="22"/>
          <w:szCs w:val="24"/>
        </w:rPr>
        <w:t xml:space="preserve">and highlight that line. </w:t>
      </w:r>
      <w:r w:rsidR="000D7777" w:rsidRPr="00BF22EF">
        <w:rPr>
          <w:sz w:val="22"/>
          <w:szCs w:val="24"/>
        </w:rPr>
        <w:t>Check the box “Display in Excel” (#1, above), then click “Query Personnel” (#2, above).  A new “Personnel Query” window should open.</w:t>
      </w:r>
    </w:p>
    <w:p w14:paraId="751B6FC1" w14:textId="77777777" w:rsidR="00A335AA" w:rsidRPr="00BF22EF" w:rsidRDefault="00A335AA" w:rsidP="003603E1">
      <w:pPr>
        <w:ind w:left="720" w:hanging="360"/>
        <w:jc w:val="both"/>
        <w:rPr>
          <w:sz w:val="22"/>
          <w:szCs w:val="24"/>
        </w:rPr>
      </w:pPr>
    </w:p>
    <w:p w14:paraId="389B40AA" w14:textId="77777777" w:rsidR="000D7777" w:rsidRDefault="000D7777" w:rsidP="003603E1">
      <w:pPr>
        <w:ind w:left="720" w:hanging="360"/>
        <w:jc w:val="both"/>
        <w:rPr>
          <w:sz w:val="22"/>
          <w:szCs w:val="24"/>
        </w:rPr>
      </w:pPr>
      <w:r w:rsidRPr="00BF22EF">
        <w:rPr>
          <w:sz w:val="22"/>
          <w:szCs w:val="24"/>
        </w:rPr>
        <w:t>- Select the desired clearance using the same process as described on the previous page.</w:t>
      </w:r>
    </w:p>
    <w:p w14:paraId="370C95D8" w14:textId="77777777" w:rsidR="00A335AA" w:rsidRPr="00BF22EF" w:rsidRDefault="00A335AA" w:rsidP="003603E1">
      <w:pPr>
        <w:ind w:left="720" w:hanging="360"/>
        <w:jc w:val="both"/>
        <w:rPr>
          <w:sz w:val="22"/>
          <w:szCs w:val="24"/>
        </w:rPr>
      </w:pPr>
    </w:p>
    <w:p w14:paraId="78DD625F" w14:textId="77777777" w:rsidR="000D7777" w:rsidRDefault="000D7777" w:rsidP="003603E1">
      <w:pPr>
        <w:ind w:left="720" w:hanging="360"/>
        <w:jc w:val="both"/>
        <w:rPr>
          <w:sz w:val="22"/>
          <w:szCs w:val="24"/>
        </w:rPr>
      </w:pPr>
      <w:r w:rsidRPr="00BF22EF">
        <w:rPr>
          <w:sz w:val="22"/>
          <w:szCs w:val="24"/>
        </w:rPr>
        <w:t>- You should be directed back to the original “Report Generation for Personnel” window, except that now the “Run Report” button should not be faded out (#3, above).  Click “Run Report.”</w:t>
      </w:r>
    </w:p>
    <w:p w14:paraId="6013CDB9" w14:textId="77777777" w:rsidR="00A335AA" w:rsidRPr="00BF22EF" w:rsidRDefault="00A335AA" w:rsidP="003603E1">
      <w:pPr>
        <w:ind w:left="720" w:hanging="360"/>
        <w:jc w:val="both"/>
        <w:rPr>
          <w:sz w:val="22"/>
          <w:szCs w:val="24"/>
        </w:rPr>
      </w:pPr>
    </w:p>
    <w:p w14:paraId="72C80BBE" w14:textId="77777777" w:rsidR="000D7777" w:rsidRPr="00BF22EF" w:rsidRDefault="000D7777" w:rsidP="003603E1">
      <w:pPr>
        <w:ind w:left="720" w:hanging="360"/>
        <w:jc w:val="both"/>
        <w:rPr>
          <w:sz w:val="22"/>
          <w:szCs w:val="24"/>
        </w:rPr>
      </w:pPr>
      <w:r w:rsidRPr="00BF22EF">
        <w:rPr>
          <w:sz w:val="22"/>
          <w:szCs w:val="24"/>
        </w:rPr>
        <w:t>- The report should open in Microsoft Excel</w:t>
      </w:r>
      <w:r w:rsidR="007B510A" w:rsidRPr="00BF22EF">
        <w:rPr>
          <w:sz w:val="22"/>
          <w:szCs w:val="24"/>
        </w:rPr>
        <w:t xml:space="preserve">. </w:t>
      </w:r>
      <w:r w:rsidRPr="00BF22EF">
        <w:rPr>
          <w:sz w:val="22"/>
          <w:szCs w:val="24"/>
        </w:rPr>
        <w:t xml:space="preserve"> </w:t>
      </w:r>
      <w:r w:rsidRPr="00BF22EF">
        <w:rPr>
          <w:i/>
          <w:sz w:val="22"/>
          <w:szCs w:val="24"/>
        </w:rPr>
        <w:t xml:space="preserve">(Note: you may receive a </w:t>
      </w:r>
      <w:r w:rsidR="007B510A" w:rsidRPr="00BF22EF">
        <w:rPr>
          <w:i/>
          <w:sz w:val="22"/>
          <w:szCs w:val="24"/>
        </w:rPr>
        <w:t xml:space="preserve">security </w:t>
      </w:r>
      <w:r w:rsidRPr="00BF22EF">
        <w:rPr>
          <w:i/>
          <w:sz w:val="22"/>
          <w:szCs w:val="24"/>
        </w:rPr>
        <w:t>warning from Excel as it opens.  Just accept the warning to finish opening the report.)</w:t>
      </w:r>
      <w:r w:rsidR="007B510A" w:rsidRPr="00BF22EF">
        <w:rPr>
          <w:i/>
          <w:sz w:val="22"/>
          <w:szCs w:val="24"/>
        </w:rPr>
        <w:t xml:space="preserve">  </w:t>
      </w:r>
      <w:r w:rsidR="007B510A" w:rsidRPr="00BF22EF">
        <w:rPr>
          <w:sz w:val="22"/>
          <w:szCs w:val="24"/>
        </w:rPr>
        <w:t>The Excel report data can be sorted, filtered, save, cut/paste, etc., as needed, to help you complete the audit.  However, any additions or deleted, will need to be made manually in CCURE like normal. (See CCURE Training Series #2 – Assigning &amp; Deleting Clearances).</w:t>
      </w:r>
    </w:p>
    <w:p w14:paraId="7F777A8C" w14:textId="77777777" w:rsidR="007B510A" w:rsidRPr="00BF22EF" w:rsidRDefault="007B510A" w:rsidP="003603E1">
      <w:pPr>
        <w:ind w:left="720" w:hanging="360"/>
        <w:jc w:val="both"/>
        <w:rPr>
          <w:sz w:val="22"/>
          <w:szCs w:val="24"/>
        </w:rPr>
      </w:pPr>
    </w:p>
    <w:p w14:paraId="25A536E3" w14:textId="77777777" w:rsidR="007B510A" w:rsidRPr="00BF22EF" w:rsidRDefault="007B510A" w:rsidP="003603E1">
      <w:pPr>
        <w:ind w:left="720" w:hanging="360"/>
        <w:jc w:val="both"/>
        <w:rPr>
          <w:sz w:val="22"/>
          <w:szCs w:val="24"/>
        </w:rPr>
      </w:pPr>
    </w:p>
    <w:p w14:paraId="4E3756D7" w14:textId="77777777" w:rsidR="007B510A" w:rsidRPr="00BF22EF" w:rsidRDefault="007B510A" w:rsidP="003603E1">
      <w:pPr>
        <w:ind w:left="720" w:hanging="360"/>
        <w:jc w:val="both"/>
        <w:rPr>
          <w:sz w:val="22"/>
          <w:szCs w:val="24"/>
        </w:rPr>
      </w:pPr>
    </w:p>
    <w:p w14:paraId="3C0B4EAC" w14:textId="77777777" w:rsidR="007B510A" w:rsidRPr="00BF22EF" w:rsidRDefault="007B510A" w:rsidP="003603E1">
      <w:pPr>
        <w:ind w:left="720" w:hanging="360"/>
        <w:jc w:val="both"/>
        <w:rPr>
          <w:sz w:val="22"/>
          <w:szCs w:val="24"/>
        </w:rPr>
      </w:pPr>
    </w:p>
    <w:p w14:paraId="18D5EACA" w14:textId="77777777" w:rsidR="007B510A" w:rsidRPr="00BF22EF" w:rsidRDefault="007B510A" w:rsidP="003603E1">
      <w:pPr>
        <w:ind w:left="720" w:hanging="360"/>
        <w:jc w:val="both"/>
        <w:rPr>
          <w:sz w:val="22"/>
          <w:szCs w:val="24"/>
        </w:rPr>
      </w:pPr>
      <w:r w:rsidRPr="00BF22EF">
        <w:rPr>
          <w:b/>
          <w:sz w:val="22"/>
          <w:szCs w:val="24"/>
        </w:rPr>
        <w:t xml:space="preserve">Note: </w:t>
      </w:r>
      <w:r w:rsidRPr="00BF22EF">
        <w:rPr>
          <w:sz w:val="22"/>
          <w:szCs w:val="24"/>
        </w:rPr>
        <w:t>Additional report configurations / features are available but are not discussed here.  Please contact the COE Safety &amp; Security Coordinator or a CCURE Administrator for additional setup assistance if needed.</w:t>
      </w:r>
    </w:p>
    <w:p w14:paraId="619CF3BD" w14:textId="77777777" w:rsidR="000D7777" w:rsidRPr="003C170A" w:rsidRDefault="000D7777" w:rsidP="003C170A">
      <w:pPr>
        <w:ind w:left="720" w:hanging="360"/>
        <w:rPr>
          <w:szCs w:val="24"/>
        </w:rPr>
      </w:pPr>
    </w:p>
    <w:sectPr w:rsidR="000D7777" w:rsidRPr="003C170A" w:rsidSect="00BF22EF">
      <w:headerReference w:type="default" r:id="rId11"/>
      <w:footerReference w:type="default" r:id="rId12"/>
      <w:pgSz w:w="12240" w:h="15840"/>
      <w:pgMar w:top="153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B3C3" w14:textId="77777777" w:rsidR="00604452" w:rsidRDefault="00604452" w:rsidP="00031A3F">
      <w:r>
        <w:separator/>
      </w:r>
    </w:p>
  </w:endnote>
  <w:endnote w:type="continuationSeparator" w:id="0">
    <w:p w14:paraId="50562CA2" w14:textId="77777777" w:rsidR="00604452" w:rsidRDefault="00604452" w:rsidP="0003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0FCE" w14:textId="77777777" w:rsidR="00E14762" w:rsidRDefault="00E14762" w:rsidP="00E14762">
    <w:pPr>
      <w:pStyle w:val="Footer"/>
      <w:jc w:val="right"/>
      <w:rPr>
        <w:i/>
        <w:sz w:val="20"/>
        <w:szCs w:val="20"/>
      </w:rPr>
    </w:pPr>
    <w:r w:rsidRPr="00E14762">
      <w:rPr>
        <w:i/>
        <w:sz w:val="20"/>
        <w:szCs w:val="20"/>
      </w:rPr>
      <w:t xml:space="preserve">Last Modified: </w:t>
    </w:r>
    <w:r w:rsidRPr="00E14762">
      <w:rPr>
        <w:i/>
        <w:sz w:val="20"/>
        <w:szCs w:val="20"/>
      </w:rPr>
      <w:fldChar w:fldCharType="begin"/>
    </w:r>
    <w:r w:rsidRPr="00E14762">
      <w:rPr>
        <w:i/>
        <w:sz w:val="20"/>
        <w:szCs w:val="20"/>
      </w:rPr>
      <w:instrText xml:space="preserve"> DATE \@ "MMMM d, yyyy" </w:instrText>
    </w:r>
    <w:r w:rsidRPr="00E14762">
      <w:rPr>
        <w:i/>
        <w:sz w:val="20"/>
        <w:szCs w:val="20"/>
      </w:rPr>
      <w:fldChar w:fldCharType="separate"/>
    </w:r>
    <w:r w:rsidR="002B28F5">
      <w:rPr>
        <w:i/>
        <w:noProof/>
        <w:sz w:val="20"/>
        <w:szCs w:val="20"/>
      </w:rPr>
      <w:t>May 17, 2019</w:t>
    </w:r>
    <w:r w:rsidRPr="00E14762">
      <w:rPr>
        <w:i/>
        <w:sz w:val="20"/>
        <w:szCs w:val="20"/>
      </w:rPr>
      <w:fldChar w:fldCharType="end"/>
    </w:r>
  </w:p>
  <w:p w14:paraId="3AF70CA8" w14:textId="77777777" w:rsidR="00176127" w:rsidRPr="00E14762" w:rsidRDefault="00176127" w:rsidP="00E14762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5AA68" w14:textId="77777777" w:rsidR="00604452" w:rsidRDefault="00604452" w:rsidP="00031A3F">
      <w:r>
        <w:separator/>
      </w:r>
    </w:p>
  </w:footnote>
  <w:footnote w:type="continuationSeparator" w:id="0">
    <w:p w14:paraId="36512BE9" w14:textId="77777777" w:rsidR="00604452" w:rsidRDefault="00604452" w:rsidP="0003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3D48" w14:textId="77777777" w:rsidR="000F578F" w:rsidRDefault="000F57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4D8A08" wp14:editId="02B5472D">
          <wp:simplePos x="0" y="0"/>
          <wp:positionH relativeFrom="margin">
            <wp:align>left</wp:align>
          </wp:positionH>
          <wp:positionV relativeFrom="paragraph">
            <wp:posOffset>-319513</wp:posOffset>
          </wp:positionV>
          <wp:extent cx="1609725" cy="598170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P_PHYSECURIT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20" cy="60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339"/>
    <w:multiLevelType w:val="hybridMultilevel"/>
    <w:tmpl w:val="0BC86560"/>
    <w:lvl w:ilvl="0" w:tplc="C7DE1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94294"/>
    <w:multiLevelType w:val="hybridMultilevel"/>
    <w:tmpl w:val="5D4A4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73"/>
    <w:rsid w:val="00025F8C"/>
    <w:rsid w:val="00031A3F"/>
    <w:rsid w:val="00071B4C"/>
    <w:rsid w:val="000D7777"/>
    <w:rsid w:val="000F2ED8"/>
    <w:rsid w:val="000F578F"/>
    <w:rsid w:val="00106E0D"/>
    <w:rsid w:val="001513BF"/>
    <w:rsid w:val="00167A07"/>
    <w:rsid w:val="00176127"/>
    <w:rsid w:val="001D1643"/>
    <w:rsid w:val="001F33DB"/>
    <w:rsid w:val="002B28F5"/>
    <w:rsid w:val="00334264"/>
    <w:rsid w:val="003603E1"/>
    <w:rsid w:val="00366DEE"/>
    <w:rsid w:val="0039671F"/>
    <w:rsid w:val="00397438"/>
    <w:rsid w:val="003A680F"/>
    <w:rsid w:val="003C170A"/>
    <w:rsid w:val="00453814"/>
    <w:rsid w:val="0053017E"/>
    <w:rsid w:val="00604452"/>
    <w:rsid w:val="0061746F"/>
    <w:rsid w:val="006C1473"/>
    <w:rsid w:val="006E0AD4"/>
    <w:rsid w:val="00721DBA"/>
    <w:rsid w:val="007B510A"/>
    <w:rsid w:val="008553E1"/>
    <w:rsid w:val="00A335AA"/>
    <w:rsid w:val="00A74316"/>
    <w:rsid w:val="00B40592"/>
    <w:rsid w:val="00BD3130"/>
    <w:rsid w:val="00BD74E0"/>
    <w:rsid w:val="00BF22EF"/>
    <w:rsid w:val="00BF405E"/>
    <w:rsid w:val="00BF6988"/>
    <w:rsid w:val="00CB087B"/>
    <w:rsid w:val="00DD6452"/>
    <w:rsid w:val="00E14762"/>
    <w:rsid w:val="00E20595"/>
    <w:rsid w:val="00E33DEC"/>
    <w:rsid w:val="00E628BC"/>
    <w:rsid w:val="00E64CAE"/>
    <w:rsid w:val="00E676AC"/>
    <w:rsid w:val="00EF4CED"/>
    <w:rsid w:val="00F30824"/>
    <w:rsid w:val="00F4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56256"/>
  <w15:chartTrackingRefBased/>
  <w15:docId w15:val="{0E8CB369-E86D-4CF9-AD94-AC63AF20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1A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A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4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762"/>
  </w:style>
  <w:style w:type="paragraph" w:styleId="Footer">
    <w:name w:val="footer"/>
    <w:basedOn w:val="Normal"/>
    <w:link w:val="FooterChar"/>
    <w:uiPriority w:val="99"/>
    <w:unhideWhenUsed/>
    <w:rsid w:val="00E14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762"/>
  </w:style>
  <w:style w:type="paragraph" w:styleId="BalloonText">
    <w:name w:val="Balloon Text"/>
    <w:basedOn w:val="Normal"/>
    <w:link w:val="BalloonTextChar"/>
    <w:uiPriority w:val="99"/>
    <w:semiHidden/>
    <w:unhideWhenUsed/>
    <w:rsid w:val="00397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3114-0A04-4063-8C26-4DF9744F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Joshua Troxell</dc:creator>
  <cp:keywords/>
  <dc:description/>
  <cp:lastModifiedBy>Condon, Mary R</cp:lastModifiedBy>
  <cp:revision>2</cp:revision>
  <cp:lastPrinted>2016-01-18T14:15:00Z</cp:lastPrinted>
  <dcterms:created xsi:type="dcterms:W3CDTF">2019-05-17T16:20:00Z</dcterms:created>
  <dcterms:modified xsi:type="dcterms:W3CDTF">2019-05-17T16:20:00Z</dcterms:modified>
</cp:coreProperties>
</file>